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C61" w:rsidRPr="000F1C61" w:rsidRDefault="000F1C61" w:rsidP="000F1C61">
      <w:pPr>
        <w:pStyle w:val="NoSpacing"/>
        <w:ind w:left="-900"/>
        <w:rPr>
          <w:b/>
          <w:sz w:val="32"/>
          <w:szCs w:val="24"/>
        </w:rPr>
      </w:pPr>
      <w:r w:rsidRPr="000F1C61">
        <w:rPr>
          <w:b/>
          <w:sz w:val="28"/>
        </w:rPr>
        <w:t>Fort Hill Address</w:t>
      </w:r>
    </w:p>
    <w:p w:rsidR="000F1C61" w:rsidRPr="000F1C61" w:rsidRDefault="000F1C61" w:rsidP="000F1C61">
      <w:pPr>
        <w:pStyle w:val="NoSpacing"/>
        <w:ind w:left="-900"/>
        <w:rPr>
          <w:b/>
          <w:sz w:val="28"/>
        </w:rPr>
      </w:pPr>
      <w:r w:rsidRPr="000F1C61">
        <w:rPr>
          <w:b/>
          <w:sz w:val="28"/>
        </w:rPr>
        <w:t>John C. Calhoun July 26, 1831</w:t>
      </w:r>
      <w:bookmarkStart w:id="0" w:name="_GoBack"/>
      <w:bookmarkEnd w:id="0"/>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The question of the relation which the States and General Government bear to each other is not one of recent origin. From the commencement of our system, it has divided public sentiment. Even in the Convention, while the Constitution was struggling into existence, there were two parties as to what this relation should be, whose different sentiments constituted no small impediment in forming that instrument. After the General Government went into operation, experience soon proved that the question had not terminated with the labors of the Convention. The great struggle that preceded the political revolution of 1801, which brought Mr. Jefferson into power, turned essentially on it; and the doctrines and arguments on both sides were embodied and ably sustained — on the one, in the Virginia and Kentucky Resolutions, and the Report to the Virginia Legislature — and on the other, in the replies of the Legislature of Massachusetts and some of the other States. …</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The great and leading principle is, that the General Government emanated from the people of the several States, forming distinct political communities, and acting in their separate and sovereign capacity, and not from all of the people forming one aggregate political community; that the Constitution of the United States is, in fact, a compact, to which each State is a party, in the character already described; and that the several States, or parties, have a right to judge of its infractions; and in case of a deliberate, palpable, and dangerous exercise of power not delegated, they have the right, in the last resort, to use the language of the Virginia Resolutions, “to interpose for arresting the progress of the evil, and for maintaining, within their respective limits, the authorities, rights, and liberties appertaining to them.” This right of interposition, thus solemnly asserted by the State of Virginia, be it called what it may — State-right, veto, nullification, or by any other name — I conceive to be the fundamental principle of our system, resting on facts historically as certain as our revolution itself, and deductions as simple and demonstrative as that of any political, or moral truth whatever; and I firmly believe that on its recognition depend the stability and safety of our political institutions.</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I am not ignorant, that those opposed to the doctrine have always, now and formerly, regarded it in a very different light, as anarchical and revolutionary. Could I believe such, in fact, to be its tendency, to me it would be no recommendation. I yield to none, I trust, in a deep and sincere attachment to our political institutions and the union of these States. I never breathed an opposite sentiment; but, on the contrary, I have ever considered them the great instruments of preserving our liberty, and promoting the happiness of ourselves and our posterity; and next to these I have ever held them most dear. Nearly half my life has been passed in the service of the Union, and whatever public reputation I have acquired is indissolubly identified with it. To be too national has, indeed, been considered by many, even of my friends, to be my greatest political fault. With these strong feelings of attachment, I have examined, with the utmost care, the bearing of the doctrine in question; and, so far from anarchical or revolutionary, I solemnly believe it to be the only solid foundation of our system, and of the Union itself; and that the opposite doctrine, which denies to the States the right of protecting their reserved powers, and which would vest in the General Government (it matters not through what department), the right of determining, exclusively and finally, the powers delegated to it, is incompatible with the sovereignty of the States, and of the Constitution itself, considered as the basis of a Federal Union. As strong as this language is, it is not stronger than that used by the illustrious Jefferson, who said, to give to the General Government the final and exclusive right to judge of its powers, is to make “its discretion, and not the Constitution, the measure of its powers;” and that, “in all cases of compact between parties having no common judge, each party has an equal right to judge for itself, as well of the infraction as of the mode and measure of redress.” Language cannot be more explicit; nor can higher authority be adduced. …</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It has been well said by one of the most sagacious men of antiquity, that the object of a constitution is, to </w:t>
      </w:r>
      <w:r w:rsidRPr="000F1C61">
        <w:rPr>
          <w:rStyle w:val="Emphasis"/>
          <w:rFonts w:asciiTheme="minorHAnsi" w:eastAsiaTheme="majorEastAsia" w:hAnsiTheme="minorHAnsi"/>
          <w:color w:val="020202"/>
        </w:rPr>
        <w:t>restrain the government, as that of laws</w:t>
      </w:r>
      <w:r w:rsidRPr="000F1C61">
        <w:rPr>
          <w:rFonts w:asciiTheme="minorHAnsi" w:hAnsiTheme="minorHAnsi"/>
          <w:color w:val="020202"/>
        </w:rPr>
        <w:t> is to restrain </w:t>
      </w:r>
      <w:r w:rsidRPr="000F1C61">
        <w:rPr>
          <w:rStyle w:val="Emphasis"/>
          <w:rFonts w:asciiTheme="minorHAnsi" w:eastAsiaTheme="majorEastAsia" w:hAnsiTheme="minorHAnsi"/>
          <w:color w:val="020202"/>
        </w:rPr>
        <w:t>individuals</w:t>
      </w:r>
      <w:r w:rsidRPr="000F1C61">
        <w:rPr>
          <w:rFonts w:asciiTheme="minorHAnsi" w:hAnsiTheme="minorHAnsi"/>
          <w:color w:val="020202"/>
        </w:rPr>
        <w:t xml:space="preserve">. The remark is correct; nor is it less true, where the government is vested in a majority, than where it is in a single or a few individuals — in a republic, than a monarchy or aristocracy. No one can have a higher respect for the maxim that the majority ought to govern than I </w:t>
      </w:r>
      <w:r w:rsidRPr="000F1C61">
        <w:rPr>
          <w:rFonts w:asciiTheme="minorHAnsi" w:hAnsiTheme="minorHAnsi"/>
          <w:color w:val="020202"/>
        </w:rPr>
        <w:lastRenderedPageBreak/>
        <w:t>have, taken in its proper sense, subject to the restrictions imposed by the Constitution, and confined to objects in which every portion of the community have similar interests; but it is a great error to suppose, as many do, that the right of a majority to govern is a natural and not a conventional right; and, therefore absolute and unlimited. By nature, every individual has the right to govern himself; and governments, whether founded on majorities or minorities, must derive their right from the assent, expressed or implied, of the governed, and be subject to such limitations as they may impose. Where the interests are the same, that is, where the laws that may benefit one, will benefit all, or the reverse, it is just and proper to place them under the control of the majority; but where they are dissimilar, so that the law that may benefit one portion may be ruinous to another, it would be, on the contrary, unjust and absurd to subject them to its will; and such, I conceive to be the theory on which our Constitution rests. …</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So numerous and diversified are the interests of our country, that they could not be fairly represented in a single government, organized so as to give to each great and leading interest, a separate and distinct voice, as in governments to which I have referred. A plan was adopted better suited to our situation, but perfectly novel in its character. The powers of government were divided, not, as heretofore, in reference to classes, but geographically. One General Government was formed for the whole, to which were delegated all the powers supposed to be necessary to regulate the interests common to all the States, leaving others subject to the separate control of the States, being, from their local and peculiar character, such, that they could not be subject to the will of a majority of the whole Union, without the certain hazard of injustice and oppression. It was thus that the interests of the whole were subjected, as they ought to be, to the will of the whole, while the peculiar and local interests were left under the control of the States separately, to whose custody only, they could be safely confided. This distribution of power, settled solemnly by a constitutional compact, to which all the States are parties, constitutes the peculiar character and excellence of our political system. It is truly and emphatically </w:t>
      </w:r>
      <w:r w:rsidRPr="000F1C61">
        <w:rPr>
          <w:rStyle w:val="Emphasis"/>
          <w:rFonts w:asciiTheme="minorHAnsi" w:eastAsiaTheme="majorEastAsia" w:hAnsiTheme="minorHAnsi"/>
          <w:color w:val="020202"/>
        </w:rPr>
        <w:t>American, without example or parallel</w:t>
      </w:r>
      <w:r w:rsidRPr="000F1C61">
        <w:rPr>
          <w:rFonts w:asciiTheme="minorHAnsi" w:hAnsiTheme="minorHAnsi"/>
          <w:color w:val="020202"/>
        </w:rPr>
        <w:t>.</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To realize its perfection, we must view the General Government and those of the States as a whole, each in its proper sphere, sovereign and independent; each perfectly adapted to its respective objects; the States acting separately, representing and protecting the local and peculiar interests; and acting jointly through one General Government, with the weight respectively assigned to each by the Constitution, representing and protecting the interest of the whole; and thus perfecting, by an admirable but simple arrangement, the great principle of representation and responsibility, without which no government can be free or just. To preserve this sacred distribution, as originally settled, by coercing each to move in its prescribed orbit, is the great and difficult problem, on the solution of which, the duration of our Constitution, of our Union, and, in all probability, our liberty depends. How is this to be effected? …</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Whenever separate and dissimilar interests have been separately represented in any government; whenever the sovereign power has been divided in its exercise, the experience and wisdom of ages have devised but one mode by which such political organization can be preserved — the mode adopted in England, and by all governments, ancient and modern, blessed with constitutions deserving to be called free — to give to each co-estate the right to judge of its powers, with a negative or veto on the acts of the others, in order to protect against encroachments, the interests it particularly represents: a principle which all of our constitutions recognize in the distribution of power among their respective departments, as essential to maintain the independence of each; but which, to all who will duly reflect on the subject, must appear far more essential, for the same object, in that great and fundamental distribution of powers between the states and General Government. So essential is the principle, that, to withhold the right from either, where the sovereign power is divided, is, in fact, </w:t>
      </w:r>
      <w:r w:rsidRPr="000F1C61">
        <w:rPr>
          <w:rStyle w:val="Emphasis"/>
          <w:rFonts w:asciiTheme="minorHAnsi" w:eastAsiaTheme="majorEastAsia" w:hAnsiTheme="minorHAnsi"/>
          <w:color w:val="020202"/>
        </w:rPr>
        <w:t>to annul the division</w:t>
      </w:r>
      <w:r w:rsidRPr="000F1C61">
        <w:rPr>
          <w:rFonts w:asciiTheme="minorHAnsi" w:hAnsiTheme="minorHAnsi"/>
          <w:color w:val="020202"/>
        </w:rPr>
        <w:t> itself, and to </w:t>
      </w:r>
      <w:r w:rsidRPr="000F1C61">
        <w:rPr>
          <w:rStyle w:val="Emphasis"/>
          <w:rFonts w:asciiTheme="minorHAnsi" w:eastAsiaTheme="majorEastAsia" w:hAnsiTheme="minorHAnsi"/>
          <w:color w:val="020202"/>
        </w:rPr>
        <w:t>consolidate</w:t>
      </w:r>
      <w:r w:rsidRPr="000F1C61">
        <w:rPr>
          <w:rFonts w:asciiTheme="minorHAnsi" w:hAnsiTheme="minorHAnsi"/>
          <w:color w:val="020202"/>
        </w:rPr>
        <w:t>, in the one left in the exclusive possession of the right, </w:t>
      </w:r>
      <w:r w:rsidRPr="000F1C61">
        <w:rPr>
          <w:rStyle w:val="Emphasis"/>
          <w:rFonts w:asciiTheme="minorHAnsi" w:eastAsiaTheme="majorEastAsia" w:hAnsiTheme="minorHAnsi"/>
          <w:color w:val="020202"/>
        </w:rPr>
        <w:t>all</w:t>
      </w:r>
      <w:r w:rsidRPr="000F1C61">
        <w:rPr>
          <w:rFonts w:asciiTheme="minorHAnsi" w:hAnsiTheme="minorHAnsi"/>
          <w:color w:val="020202"/>
        </w:rPr>
        <w:t> powers of government; for it is not possible to distinguish, practically, between a government having all power, and one having the right to take what powers it pleases. Nor does it in the least vary the principle, whether the distribution of power be between co-estates, as in England, or between distinctly organized, but connected governments, as with us. The reason is the same in both cases, while the necessity is greater in our case, as the danger of conflict is greater where the interests of a society are divided geographically than in any other, as has already been shown. …</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lastRenderedPageBreak/>
        <w:t>I do not deny that a power of so high a nature may be abused by a State; but when I reflect that the States unanimously called the General Government into existence with all of its powers, which they freely delegated on their part, under the conviction that their common peace, safety, and prosperity required it; that they are bound together by a common origin, and the recollection of common suffering and common triumph in the great and splendid achievement of their independence; and that the strongest feelings of our nature, and among them the love of national power and distinction, are on the side of the Union; it does seem to me that the fear which would strip the States of their sovereignty, and degrade them, in fact, to mere dependent corporations, lest they should abuse a right indispensable to the peaceable protection of those interests which they reserved under their own peculiar guardianship when they created the General Government, is unnatural and unreasonable. If those who voluntarily created the system cannot be trusted to preserve it, what power can?</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 xml:space="preserve">So, far from extreme danger, I hold that there never was a </w:t>
      </w:r>
      <w:proofErr w:type="gramStart"/>
      <w:r w:rsidRPr="000F1C61">
        <w:rPr>
          <w:rFonts w:asciiTheme="minorHAnsi" w:hAnsiTheme="minorHAnsi"/>
          <w:color w:val="020202"/>
        </w:rPr>
        <w:t>free</w:t>
      </w:r>
      <w:proofErr w:type="gramEnd"/>
      <w:r w:rsidRPr="000F1C61">
        <w:rPr>
          <w:rFonts w:asciiTheme="minorHAnsi" w:hAnsiTheme="minorHAnsi"/>
          <w:color w:val="020202"/>
        </w:rPr>
        <w:t xml:space="preserve"> State in which this great conservative principle, indispensable to all, was ever so safely lodged. In others, when the co-estates representing the dissimilar and conflicting interests of the community came into contact, the only alternative was compromise, submission, or force. Not so in ours. Should the General Government and a State come into conflict, we have a higher remedy: the power which called the General Government into existence, which gave it all of its authority, and can enlarge, contract, or abolish its powers at its pleasure, may be invoked. The States themselves may be appealed to — three-fourths of which, in fact, form a power, whose decrees are the Constitution itself, and whose voice can silence all discontent. The utmost extent, then, of the power is, that a State, acting in its sovereign capacity, as one of the parties to the constitutional compact, may compel the Government, created by that compact, to submit a question touching its infraction, to the parties who created it; to avoid the supposed dangers of which, it is proposed to resort to the novel, the hazardous, and, I must add, fatal project of giving to the General Government the sole and final right of interpreting the Constitution — thereby reversing the whole system, making that instrument the creature of its will, instead of a rule of action impressed on it at its creation, and annihilating, in fact, the authority which imposed it, and from which the Government itself derives its existence. …</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 xml:space="preserve">Against these conclusive arguments, as they seem to me, it is objected, that, if one of the parties has the right to judge of infractions of the Constitution, so has the other; and that, consequently, in cases of contested powers between a State and the General Government, each would have a right to maintain its opinion, as is the case when sovereign powers differ in the construction of treaties or compacts; and that, of course, it would come to be a mere question of force. The error is in the assumption that the General Government is a party to the constitutional compact. The States, as has been shown, formed the compact, acting as Sovereign and independent communities. The General Government is but its creature; and though, in reality, a government, with all the rights and authority which belong to any other government, within the orbit of its powers, it is, nevertheless, a government emanating from a compact between sovereigns, and partaking, in its nature and object, of the character of a joint commission, appointed to superintend and administer the interests in which all are jointly concerned; but having, beyond its proper sphere, no more power than if it did not exist. To deny this would be to deny the most incontestable facts, and the clearest conclusions; while to acknowledge its truth is, to destroy utterly the objection that the appeal would be to force, in the case supposed. For if each party has a right to judge, then, under our system of government, the final cognizance of a question of contested power would be in the States, and not in the General Government. It would be the duty of the latter, as in all similar cases of a contest between one </w:t>
      </w:r>
      <w:proofErr w:type="gramStart"/>
      <w:r w:rsidRPr="000F1C61">
        <w:rPr>
          <w:rFonts w:asciiTheme="minorHAnsi" w:hAnsiTheme="minorHAnsi"/>
          <w:color w:val="020202"/>
        </w:rPr>
        <w:t>or</w:t>
      </w:r>
      <w:proofErr w:type="gramEnd"/>
      <w:r w:rsidRPr="000F1C61">
        <w:rPr>
          <w:rFonts w:asciiTheme="minorHAnsi" w:hAnsiTheme="minorHAnsi"/>
          <w:color w:val="020202"/>
        </w:rPr>
        <w:t xml:space="preserve"> more of the principals and a joint commission or agency, to refer the contest to the principals themselves. Such are the plain dictates of both reason and analogy. …</w:t>
      </w:r>
    </w:p>
    <w:p w:rsidR="000F1C61" w:rsidRPr="000F1C61" w:rsidRDefault="000F1C61" w:rsidP="000F1C61">
      <w:pPr>
        <w:pStyle w:val="NormalWeb"/>
        <w:shd w:val="clear" w:color="auto" w:fill="FFFFFF"/>
        <w:ind w:left="-900" w:right="-990"/>
        <w:rPr>
          <w:rFonts w:asciiTheme="minorHAnsi" w:hAnsiTheme="minorHAnsi"/>
          <w:color w:val="020202"/>
        </w:rPr>
      </w:pPr>
      <w:r w:rsidRPr="000F1C61">
        <w:rPr>
          <w:rFonts w:asciiTheme="minorHAnsi" w:hAnsiTheme="minorHAnsi"/>
          <w:color w:val="020202"/>
        </w:rPr>
        <w:t>Source: John C. Calhoun, </w:t>
      </w:r>
      <w:r w:rsidRPr="000F1C61">
        <w:rPr>
          <w:rStyle w:val="Emphasis"/>
          <w:rFonts w:asciiTheme="minorHAnsi" w:eastAsiaTheme="majorEastAsia" w:hAnsiTheme="minorHAnsi"/>
          <w:color w:val="020202"/>
        </w:rPr>
        <w:t>Union and Liberty: The Political Philosophy of John C. Calhoun,</w:t>
      </w:r>
      <w:r w:rsidRPr="000F1C61">
        <w:rPr>
          <w:rFonts w:asciiTheme="minorHAnsi" w:hAnsiTheme="minorHAnsi"/>
          <w:color w:val="020202"/>
        </w:rPr>
        <w:t xml:space="preserve"> ed. Ross M. </w:t>
      </w:r>
      <w:proofErr w:type="spellStart"/>
      <w:r w:rsidRPr="000F1C61">
        <w:rPr>
          <w:rFonts w:asciiTheme="minorHAnsi" w:hAnsiTheme="minorHAnsi"/>
          <w:color w:val="020202"/>
        </w:rPr>
        <w:t>Lence</w:t>
      </w:r>
      <w:proofErr w:type="spellEnd"/>
      <w:r w:rsidRPr="000F1C61">
        <w:rPr>
          <w:rFonts w:asciiTheme="minorHAnsi" w:hAnsiTheme="minorHAnsi"/>
          <w:color w:val="020202"/>
        </w:rPr>
        <w:t xml:space="preserve"> (Indianapolis: Liberty Fund, 1992)</w:t>
      </w:r>
    </w:p>
    <w:p w:rsidR="000F1C61" w:rsidRPr="000F1C61" w:rsidRDefault="000F1C61" w:rsidP="000F1C61">
      <w:pPr>
        <w:pStyle w:val="NoSpacing"/>
        <w:ind w:left="-900" w:right="-990"/>
        <w:rPr>
          <w:sz w:val="24"/>
          <w:szCs w:val="24"/>
        </w:rPr>
      </w:pPr>
    </w:p>
    <w:p w:rsidR="000F1C61" w:rsidRPr="000F1C61" w:rsidRDefault="000F1C61" w:rsidP="000F1C61">
      <w:pPr>
        <w:pStyle w:val="NoSpacing"/>
        <w:ind w:left="-900" w:right="-990"/>
        <w:rPr>
          <w:sz w:val="24"/>
          <w:szCs w:val="24"/>
        </w:rPr>
      </w:pPr>
    </w:p>
    <w:p w:rsidR="000F1C61" w:rsidRDefault="000F1C61" w:rsidP="000F1C61">
      <w:pPr>
        <w:pStyle w:val="NoSpacing"/>
        <w:ind w:left="-900"/>
      </w:pPr>
    </w:p>
    <w:sectPr w:rsidR="000F1C61" w:rsidSect="00DA3226">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FCF"/>
    <w:rsid w:val="000F1C61"/>
    <w:rsid w:val="00146FCF"/>
    <w:rsid w:val="00B42AAE"/>
    <w:rsid w:val="00DA3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2FD76-F3E4-4132-953F-4F1EB036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146FCF"/>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0F1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380">
      <w:bodyDiv w:val="1"/>
      <w:marLeft w:val="0"/>
      <w:marRight w:val="0"/>
      <w:marTop w:val="0"/>
      <w:marBottom w:val="0"/>
      <w:divBdr>
        <w:top w:val="none" w:sz="0" w:space="0" w:color="auto"/>
        <w:left w:val="none" w:sz="0" w:space="0" w:color="auto"/>
        <w:bottom w:val="none" w:sz="0" w:space="0" w:color="auto"/>
        <w:right w:val="none" w:sz="0" w:space="0" w:color="auto"/>
      </w:divBdr>
    </w:div>
    <w:div w:id="988678468">
      <w:bodyDiv w:val="1"/>
      <w:marLeft w:val="0"/>
      <w:marRight w:val="0"/>
      <w:marTop w:val="0"/>
      <w:marBottom w:val="0"/>
      <w:divBdr>
        <w:top w:val="none" w:sz="0" w:space="0" w:color="auto"/>
        <w:left w:val="none" w:sz="0" w:space="0" w:color="auto"/>
        <w:bottom w:val="none" w:sz="0" w:space="0" w:color="auto"/>
        <w:right w:val="none" w:sz="0" w:space="0" w:color="auto"/>
      </w:divBdr>
    </w:div>
    <w:div w:id="20290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3</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2</cp:revision>
  <dcterms:created xsi:type="dcterms:W3CDTF">2015-09-17T14:18:00Z</dcterms:created>
  <dcterms:modified xsi:type="dcterms:W3CDTF">2015-09-17T14:18:00Z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